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9D3" w:rsidRPr="004542C8" w:rsidRDefault="002919D3" w:rsidP="002919D3">
      <w:pPr>
        <w:spacing w:line="240" w:lineRule="auto"/>
        <w:jc w:val="center"/>
        <w:rPr>
          <w:rFonts w:ascii="IranNastaliq" w:hAnsi="IranNastaliq" w:cs="IranNastaliq"/>
          <w:b/>
          <w:bCs/>
          <w:sz w:val="44"/>
          <w:szCs w:val="44"/>
          <w:rtl/>
        </w:rPr>
      </w:pPr>
      <w:r w:rsidRPr="004542C8">
        <w:rPr>
          <w:rFonts w:ascii="IranNastaliq" w:hAnsi="IranNastaliq" w:cs="IranNastaliq"/>
          <w:b/>
          <w:bCs/>
          <w:sz w:val="44"/>
          <w:szCs w:val="44"/>
          <w:rtl/>
        </w:rPr>
        <w:t>تعیین اولویت استاد راهنما</w:t>
      </w:r>
      <w:r>
        <w:rPr>
          <w:rFonts w:ascii="IranNastaliq" w:hAnsi="IranNastaliq" w:cs="IranNastaliq" w:hint="cs"/>
          <w:b/>
          <w:bCs/>
          <w:sz w:val="44"/>
          <w:szCs w:val="44"/>
          <w:rtl/>
        </w:rPr>
        <w:t xml:space="preserve"> برای  </w:t>
      </w:r>
      <w:r w:rsidRPr="00CA4E4B">
        <w:rPr>
          <w:rFonts w:ascii="IranNastaliq" w:hAnsi="IranNastaliq" w:cs="IranNastaliq" w:hint="cs"/>
          <w:b/>
          <w:bCs/>
          <w:sz w:val="44"/>
          <w:szCs w:val="44"/>
          <w:rtl/>
        </w:rPr>
        <w:t>متقاضیان دوره دکتری آمار ورودی 1400</w:t>
      </w:r>
    </w:p>
    <w:p w:rsidR="002919D3" w:rsidRPr="004B6FF4" w:rsidRDefault="002919D3" w:rsidP="002919D3">
      <w:pPr>
        <w:spacing w:line="360" w:lineRule="auto"/>
        <w:rPr>
          <w:rFonts w:cs="B Mitra"/>
          <w:b/>
          <w:bCs/>
          <w:sz w:val="21"/>
          <w:szCs w:val="21"/>
          <w:rtl/>
        </w:rPr>
      </w:pPr>
      <w:r w:rsidRPr="00832032">
        <w:rPr>
          <w:rFonts w:cs="B Mitra" w:hint="cs"/>
          <w:sz w:val="24"/>
          <w:szCs w:val="24"/>
          <w:rtl/>
        </w:rPr>
        <w:t>داوطلب گرامی در جدول زیر لیست اعضاء محترم هیات علمی گروه آمار دانشگاه فردوسی مشهد که متقاضی دانشجوی دکتری</w:t>
      </w:r>
      <w:r>
        <w:rPr>
          <w:rFonts w:cs="B Mitra" w:hint="cs"/>
          <w:sz w:val="24"/>
          <w:szCs w:val="24"/>
          <w:rtl/>
        </w:rPr>
        <w:t>1400</w:t>
      </w:r>
      <w:r w:rsidRPr="00832032">
        <w:rPr>
          <w:rFonts w:cs="B Mitra" w:hint="cs"/>
          <w:sz w:val="24"/>
          <w:szCs w:val="24"/>
          <w:rtl/>
        </w:rPr>
        <w:t xml:space="preserve"> می باشند به همراه زمینه مطالعاتی و ظرفیت پذیرش آنها قید گردیده است . </w:t>
      </w:r>
      <w:r w:rsidRPr="004B6FF4">
        <w:rPr>
          <w:rFonts w:cs="B Mitra" w:hint="cs"/>
          <w:b/>
          <w:bCs/>
          <w:sz w:val="21"/>
          <w:szCs w:val="21"/>
          <w:rtl/>
        </w:rPr>
        <w:tab/>
      </w:r>
    </w:p>
    <w:tbl>
      <w:tblPr>
        <w:tblStyle w:val="TableGrid"/>
        <w:bidiVisual/>
        <w:tblW w:w="10253" w:type="dxa"/>
        <w:tblInd w:w="212" w:type="dxa"/>
        <w:tblLook w:val="04A0" w:firstRow="1" w:lastRow="0" w:firstColumn="1" w:lastColumn="0" w:noHBand="0" w:noVBand="1"/>
      </w:tblPr>
      <w:tblGrid>
        <w:gridCol w:w="2798"/>
        <w:gridCol w:w="7455"/>
      </w:tblGrid>
      <w:tr w:rsidR="002919D3" w:rsidTr="00723601">
        <w:trPr>
          <w:trHeight w:val="770"/>
        </w:trPr>
        <w:tc>
          <w:tcPr>
            <w:tcW w:w="2798" w:type="dxa"/>
          </w:tcPr>
          <w:p w:rsidR="002919D3" w:rsidRDefault="002919D3" w:rsidP="0072360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نام و نام خانوادگی عضو هیأت علمی</w:t>
            </w:r>
          </w:p>
          <w:p w:rsidR="002919D3" w:rsidRDefault="002919D3" w:rsidP="0072360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به ترتیب حروف الفبا</w:t>
            </w:r>
          </w:p>
        </w:tc>
        <w:tc>
          <w:tcPr>
            <w:tcW w:w="7455" w:type="dxa"/>
          </w:tcPr>
          <w:p w:rsidR="002919D3" w:rsidRDefault="002919D3" w:rsidP="00723601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زمینه تحقیقاتی</w:t>
            </w:r>
          </w:p>
        </w:tc>
      </w:tr>
      <w:tr w:rsidR="002919D3" w:rsidTr="00723601">
        <w:trPr>
          <w:trHeight w:val="552"/>
        </w:trPr>
        <w:tc>
          <w:tcPr>
            <w:tcW w:w="2798" w:type="dxa"/>
            <w:vAlign w:val="center"/>
          </w:tcPr>
          <w:p w:rsidR="002919D3" w:rsidRPr="008923DE" w:rsidRDefault="002919D3" w:rsidP="00723601">
            <w:pPr>
              <w:pStyle w:val="ListParagraph"/>
              <w:ind w:left="409"/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جعفر احمدی</w:t>
            </w:r>
          </w:p>
        </w:tc>
        <w:tc>
          <w:tcPr>
            <w:tcW w:w="7455" w:type="dxa"/>
          </w:tcPr>
          <w:p w:rsidR="002919D3" w:rsidRPr="00427C18" w:rsidRDefault="002919D3" w:rsidP="00723601">
            <w:pPr>
              <w:jc w:val="both"/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</w:pP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داده هاي ترتيبي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نظريه قابليت اعتماد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بهينه سازي در قابليت اعتماد</w:t>
            </w:r>
          </w:p>
        </w:tc>
      </w:tr>
      <w:tr w:rsidR="002919D3" w:rsidTr="00723601">
        <w:trPr>
          <w:trHeight w:val="552"/>
        </w:trPr>
        <w:tc>
          <w:tcPr>
            <w:tcW w:w="2798" w:type="dxa"/>
            <w:vAlign w:val="center"/>
          </w:tcPr>
          <w:p w:rsidR="002919D3" w:rsidRPr="008923DE" w:rsidRDefault="002919D3" w:rsidP="00723601">
            <w:pPr>
              <w:pStyle w:val="ListParagraph"/>
              <w:ind w:left="409"/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هادی جباری نوقابی</w:t>
            </w:r>
          </w:p>
        </w:tc>
        <w:tc>
          <w:tcPr>
            <w:tcW w:w="7455" w:type="dxa"/>
          </w:tcPr>
          <w:p w:rsidR="002919D3" w:rsidRPr="008923DE" w:rsidRDefault="002919D3" w:rsidP="00723601">
            <w:pPr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آمار کاربردی، احتمال کاربرد</w:t>
            </w:r>
            <w:r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ی</w:t>
            </w:r>
          </w:p>
        </w:tc>
      </w:tr>
      <w:tr w:rsidR="002919D3" w:rsidTr="00723601">
        <w:tc>
          <w:tcPr>
            <w:tcW w:w="2798" w:type="dxa"/>
            <w:vAlign w:val="center"/>
          </w:tcPr>
          <w:p w:rsidR="002919D3" w:rsidRPr="008923DE" w:rsidRDefault="002919D3" w:rsidP="00723601">
            <w:pPr>
              <w:pStyle w:val="ListParagraph"/>
              <w:ind w:left="409"/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مهدی جباری نوقابی</w:t>
            </w:r>
          </w:p>
        </w:tc>
        <w:tc>
          <w:tcPr>
            <w:tcW w:w="7455" w:type="dxa"/>
          </w:tcPr>
          <w:p w:rsidR="002919D3" w:rsidRPr="008923DE" w:rsidRDefault="002919D3" w:rsidP="00723601">
            <w:pPr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C029C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 xml:space="preserve">استنباط آماری، داده های پرت، بیمه، کنترل کیفیت آماری </w:t>
            </w:r>
          </w:p>
        </w:tc>
      </w:tr>
      <w:tr w:rsidR="002919D3" w:rsidTr="00723601">
        <w:tc>
          <w:tcPr>
            <w:tcW w:w="2798" w:type="dxa"/>
            <w:vAlign w:val="center"/>
          </w:tcPr>
          <w:p w:rsidR="002919D3" w:rsidRPr="008923DE" w:rsidRDefault="002919D3" w:rsidP="00723601">
            <w:pPr>
              <w:pStyle w:val="ListParagraph"/>
              <w:ind w:left="409"/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مهدی دوست پرست</w:t>
            </w:r>
          </w:p>
        </w:tc>
        <w:tc>
          <w:tcPr>
            <w:tcW w:w="7455" w:type="dxa"/>
          </w:tcPr>
          <w:p w:rsidR="002919D3" w:rsidRPr="008923DE" w:rsidRDefault="002919D3" w:rsidP="00723601">
            <w:pPr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يادگيري آماري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داده كاوي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،</w:t>
            </w:r>
            <w:r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درخت هاي تصميم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قابليت اطمينان</w:t>
            </w:r>
          </w:p>
        </w:tc>
      </w:tr>
      <w:tr w:rsidR="002919D3" w:rsidTr="00723601">
        <w:tc>
          <w:tcPr>
            <w:tcW w:w="2798" w:type="dxa"/>
            <w:vAlign w:val="center"/>
          </w:tcPr>
          <w:p w:rsidR="002919D3" w:rsidRPr="008923DE" w:rsidRDefault="002919D3" w:rsidP="00723601">
            <w:pPr>
              <w:pStyle w:val="ListParagraph"/>
              <w:ind w:left="409"/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مجيد سرمد</w:t>
            </w:r>
          </w:p>
        </w:tc>
        <w:tc>
          <w:tcPr>
            <w:tcW w:w="7455" w:type="dxa"/>
          </w:tcPr>
          <w:p w:rsidR="002919D3" w:rsidRPr="00427C18" w:rsidRDefault="002919D3" w:rsidP="00723601">
            <w:pPr>
              <w:jc w:val="both"/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</w:pP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تحليل و محاسبات مربوط به داده های انبوه</w:t>
            </w:r>
          </w:p>
        </w:tc>
      </w:tr>
      <w:tr w:rsidR="002919D3" w:rsidTr="00723601">
        <w:trPr>
          <w:trHeight w:val="437"/>
        </w:trPr>
        <w:tc>
          <w:tcPr>
            <w:tcW w:w="2798" w:type="dxa"/>
            <w:vAlign w:val="center"/>
          </w:tcPr>
          <w:p w:rsidR="002919D3" w:rsidRPr="008923DE" w:rsidRDefault="002919D3" w:rsidP="00723601">
            <w:pPr>
              <w:pStyle w:val="ListParagraph"/>
              <w:ind w:left="409"/>
              <w:jc w:val="both"/>
              <w:rPr>
                <w:rFonts w:ascii="IranNastaliq" w:hAnsi="IranNastaliq" w:cs="IranNastaliq"/>
                <w:b/>
                <w:bCs/>
                <w:sz w:val="28"/>
                <w:szCs w:val="28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مهدی عمادی</w:t>
            </w:r>
          </w:p>
        </w:tc>
        <w:tc>
          <w:tcPr>
            <w:tcW w:w="7455" w:type="dxa"/>
          </w:tcPr>
          <w:p w:rsidR="002919D3" w:rsidRPr="00427C18" w:rsidRDefault="002919D3" w:rsidP="00723601">
            <w:pPr>
              <w:jc w:val="both"/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</w:pP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رگرسيون چندك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نظريه توزيع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ناپارامتري</w:t>
            </w:r>
            <w:r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برآورد تابع چگالي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آنتروپي و اندازه هاي واگرايي</w:t>
            </w:r>
          </w:p>
        </w:tc>
      </w:tr>
      <w:tr w:rsidR="002919D3" w:rsidTr="00723601">
        <w:trPr>
          <w:trHeight w:val="437"/>
        </w:trPr>
        <w:tc>
          <w:tcPr>
            <w:tcW w:w="2798" w:type="dxa"/>
            <w:vAlign w:val="center"/>
          </w:tcPr>
          <w:p w:rsidR="002919D3" w:rsidRPr="00714DE4" w:rsidRDefault="002919D3" w:rsidP="00723601">
            <w:pPr>
              <w:pStyle w:val="ListParagraph"/>
              <w:ind w:left="409"/>
              <w:jc w:val="both"/>
              <w:rPr>
                <w:rFonts w:ascii="Times New Roman" w:eastAsia="Times New Roman" w:hAnsi="Times New Roman" w:cs="Koodak"/>
                <w:sz w:val="20"/>
                <w:szCs w:val="20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وحيد فکور</w:t>
            </w:r>
          </w:p>
        </w:tc>
        <w:tc>
          <w:tcPr>
            <w:tcW w:w="7455" w:type="dxa"/>
          </w:tcPr>
          <w:p w:rsidR="002919D3" w:rsidRPr="00427C18" w:rsidRDefault="002919D3" w:rsidP="00723601">
            <w:pPr>
              <w:jc w:val="both"/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</w:pP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درستنمايي تجربي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تحليل بقا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،  استنباط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بيز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ي،</w:t>
            </w:r>
            <w:r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مدل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هاي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ناپارامتري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مالي</w:t>
            </w:r>
          </w:p>
        </w:tc>
      </w:tr>
      <w:tr w:rsidR="002919D3" w:rsidTr="00723601">
        <w:trPr>
          <w:trHeight w:val="1407"/>
        </w:trPr>
        <w:tc>
          <w:tcPr>
            <w:tcW w:w="2798" w:type="dxa"/>
            <w:vAlign w:val="center"/>
          </w:tcPr>
          <w:p w:rsidR="002919D3" w:rsidRPr="00714DE4" w:rsidRDefault="002919D3" w:rsidP="00723601">
            <w:pPr>
              <w:pStyle w:val="ListParagraph"/>
              <w:ind w:left="409"/>
              <w:jc w:val="both"/>
              <w:rPr>
                <w:rFonts w:ascii="Times New Roman" w:eastAsia="Times New Roman" w:hAnsi="Times New Roman" w:cs="Koodak"/>
                <w:sz w:val="20"/>
                <w:szCs w:val="20"/>
                <w:rtl/>
              </w:rPr>
            </w:pPr>
            <w:r w:rsidRPr="00714DE4">
              <w:rPr>
                <w:rFonts w:ascii="Times New Roman" w:eastAsia="Times New Roman" w:hAnsi="Times New Roman" w:cs="Koodak" w:hint="cs"/>
                <w:sz w:val="20"/>
                <w:szCs w:val="20"/>
                <w:rtl/>
              </w:rPr>
              <w:t>دکتر غلامرضا محتشمی برزادران</w:t>
            </w:r>
          </w:p>
        </w:tc>
        <w:tc>
          <w:tcPr>
            <w:tcW w:w="7455" w:type="dxa"/>
          </w:tcPr>
          <w:p w:rsidR="002919D3" w:rsidRPr="00427C18" w:rsidRDefault="002919D3" w:rsidP="00723601">
            <w:pPr>
              <w:jc w:val="both"/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</w:pP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نظريه اطلاع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كاربردهايي از ماكسيمم انتروپي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>،</w:t>
            </w:r>
            <w:r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قابليت اعتماد</w:t>
            </w:r>
            <w:r w:rsidRPr="00714DE4">
              <w:rPr>
                <w:rFonts w:cs="Zar" w:hint="cs"/>
                <w:b/>
                <w:bCs/>
                <w:color w:val="00B050"/>
                <w:sz w:val="20"/>
                <w:szCs w:val="20"/>
                <w:rtl/>
              </w:rPr>
              <w:t xml:space="preserve">، </w:t>
            </w:r>
            <w:r w:rsidRPr="00714DE4">
              <w:rPr>
                <w:rFonts w:cs="Zar"/>
                <w:b/>
                <w:bCs/>
                <w:color w:val="00B050"/>
                <w:sz w:val="20"/>
                <w:szCs w:val="20"/>
                <w:rtl/>
              </w:rPr>
              <w:t>مباحث نظري در ضريب جيني و نابرابري هاي اقتصادي</w:t>
            </w:r>
          </w:p>
        </w:tc>
      </w:tr>
    </w:tbl>
    <w:p w:rsidR="002919D3" w:rsidRDefault="002919D3" w:rsidP="002919D3">
      <w:pPr>
        <w:bidi w:val="0"/>
        <w:jc w:val="right"/>
        <w:rPr>
          <w:rFonts w:cs="B Mitra"/>
        </w:rPr>
      </w:pPr>
      <w:r w:rsidRPr="00CC6463">
        <w:rPr>
          <w:rFonts w:cs="B Mitra" w:hint="cs"/>
          <w:b/>
          <w:bCs/>
          <w:sz w:val="24"/>
          <w:szCs w:val="24"/>
          <w:rtl/>
        </w:rPr>
        <w:t>اولویت</w:t>
      </w:r>
      <w:r>
        <w:rPr>
          <w:rFonts w:cs="B Mitra" w:hint="cs"/>
          <w:rtl/>
        </w:rPr>
        <w:t xml:space="preserve">:  </w:t>
      </w:r>
      <w:r w:rsidRPr="000F6B8B">
        <w:rPr>
          <w:rFonts w:cs="B Mitra" w:hint="cs"/>
          <w:b/>
          <w:bCs/>
          <w:rtl/>
        </w:rPr>
        <w:t>لطفاً اسامی هر 8 عضو هیأت علمی متقاضی دانشجوی دکتری را بر اساس جدول بالا به ترتیب الویت در لیست زیر بنویسید.</w:t>
      </w:r>
    </w:p>
    <w:p w:rsidR="002919D3" w:rsidRDefault="002919D3" w:rsidP="002919D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 xml:space="preserve">1................................................................................................................................             </w:t>
      </w:r>
    </w:p>
    <w:p w:rsidR="002919D3" w:rsidRDefault="002919D3" w:rsidP="002919D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 xml:space="preserve">2................................................................................................................................          </w:t>
      </w:r>
    </w:p>
    <w:p w:rsidR="002919D3" w:rsidRDefault="002919D3" w:rsidP="002919D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 xml:space="preserve">3................................................................................................................................            </w:t>
      </w:r>
    </w:p>
    <w:p w:rsidR="002919D3" w:rsidRDefault="002919D3" w:rsidP="002919D3">
      <w:pPr>
        <w:bidi w:val="0"/>
        <w:jc w:val="right"/>
        <w:rPr>
          <w:rFonts w:cs="B Mitra"/>
        </w:rPr>
      </w:pPr>
      <w:r>
        <w:rPr>
          <w:rFonts w:cs="B Mitra" w:hint="cs"/>
          <w:rtl/>
        </w:rPr>
        <w:t xml:space="preserve">4................................................................................................................................         </w:t>
      </w:r>
    </w:p>
    <w:p w:rsidR="002919D3" w:rsidRDefault="002919D3" w:rsidP="002919D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5 ...............................................................................................................................</w:t>
      </w:r>
    </w:p>
    <w:p w:rsidR="002919D3" w:rsidRDefault="002919D3" w:rsidP="002919D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6...............................................................................................................................</w:t>
      </w:r>
    </w:p>
    <w:p w:rsidR="002919D3" w:rsidRDefault="002919D3" w:rsidP="002919D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7...............................................................................................................................</w:t>
      </w:r>
    </w:p>
    <w:p w:rsidR="002919D3" w:rsidRDefault="002919D3" w:rsidP="002919D3">
      <w:pPr>
        <w:bidi w:val="0"/>
        <w:jc w:val="right"/>
        <w:rPr>
          <w:rFonts w:cs="B Mitra"/>
          <w:rtl/>
        </w:rPr>
      </w:pPr>
      <w:r>
        <w:rPr>
          <w:rFonts w:cs="B Mitra" w:hint="cs"/>
          <w:rtl/>
        </w:rPr>
        <w:t>8...............................................................................................................................</w:t>
      </w:r>
    </w:p>
    <w:p w:rsidR="002919D3" w:rsidRDefault="002919D3" w:rsidP="002919D3">
      <w:pPr>
        <w:spacing w:line="360" w:lineRule="auto"/>
        <w:rPr>
          <w:rFonts w:cs="B Mitra"/>
        </w:rPr>
      </w:pPr>
      <w:r w:rsidRPr="004023AB">
        <w:rPr>
          <w:rFonts w:cs="B Mitra" w:hint="cs"/>
          <w:b/>
          <w:bCs/>
          <w:sz w:val="28"/>
          <w:szCs w:val="28"/>
          <w:rtl/>
        </w:rPr>
        <w:t>توجه :</w:t>
      </w:r>
      <w:r w:rsidRPr="004023AB">
        <w:rPr>
          <w:rFonts w:cs="B Mitra" w:hint="cs"/>
          <w:b/>
          <w:bCs/>
          <w:sz w:val="21"/>
          <w:szCs w:val="21"/>
          <w:rtl/>
        </w:rPr>
        <w:t xml:space="preserve"> شایسته است با دقت لازم،  اولویت های خود را در خصوص استاد راهنمای رساله دوره دکتری مشخص نمایید. ضمن</w:t>
      </w:r>
      <w:r>
        <w:rPr>
          <w:rFonts w:cs="B Mitra" w:hint="cs"/>
          <w:b/>
          <w:bCs/>
          <w:sz w:val="21"/>
          <w:szCs w:val="21"/>
          <w:rtl/>
        </w:rPr>
        <w:t>اً</w:t>
      </w:r>
      <w:r w:rsidRPr="004023AB">
        <w:rPr>
          <w:rFonts w:cs="B Mitra" w:hint="cs"/>
          <w:b/>
          <w:bCs/>
          <w:sz w:val="21"/>
          <w:szCs w:val="21"/>
          <w:rtl/>
        </w:rPr>
        <w:t xml:space="preserve"> </w:t>
      </w:r>
      <w:r w:rsidRPr="004B6FF4">
        <w:rPr>
          <w:rFonts w:cs="B Mitra" w:hint="cs"/>
          <w:b/>
          <w:bCs/>
          <w:sz w:val="21"/>
          <w:szCs w:val="21"/>
          <w:rtl/>
        </w:rPr>
        <w:t>به اطلاع می رساند تخصیص نهایی استاد راهنما در اختیار گروه می باشد.</w:t>
      </w:r>
    </w:p>
    <w:p w:rsidR="002919D3" w:rsidRDefault="002919D3" w:rsidP="002919D3">
      <w:pPr>
        <w:rPr>
          <w:rFonts w:cs="B Mitra"/>
          <w:rtl/>
        </w:rPr>
      </w:pP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نام و نام خانوادگی متقاضی</w:t>
      </w:r>
    </w:p>
    <w:p w:rsidR="00897C9D" w:rsidRDefault="002919D3" w:rsidP="002919D3"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  <w:t>امضاء</w:t>
      </w:r>
      <w:bookmarkStart w:id="0" w:name="_GoBack"/>
      <w:bookmarkEnd w:id="0"/>
    </w:p>
    <w:sectPr w:rsidR="00897C9D" w:rsidSect="002919D3">
      <w:pgSz w:w="11906" w:h="16838" w:code="9"/>
      <w:pgMar w:top="0" w:right="851" w:bottom="45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Koodak"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D3"/>
    <w:rsid w:val="002919D3"/>
    <w:rsid w:val="0089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5:chartTrackingRefBased/>
  <w15:docId w15:val="{4D688843-6585-41FA-A044-0A9CED5C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919D3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19D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Baghdan</dc:creator>
  <cp:keywords/>
  <dc:description/>
  <cp:lastModifiedBy>Baghdan</cp:lastModifiedBy>
  <cp:revision>1</cp:revision>
  <dcterms:created xsi:type="dcterms:W3CDTF">2021-06-09T08:23:00Z</dcterms:created>
  <dcterms:modified xsi:type="dcterms:W3CDTF">2021-06-09T08:23:00Z</dcterms:modified>
</cp:coreProperties>
</file>